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00" w:lineRule="atLeast"/>
        <w:ind w:left="0" w:right="-126" w:rightChars="-60"/>
        <w:jc w:val="center"/>
        <w:rPr>
          <w:rFonts w:hint="eastAsia" w:ascii="方正小标宋_GBK" w:hAnsi="宋体" w:eastAsia="方正小标宋_GBK" w:cs="方正小标宋_GBK"/>
          <w:bCs/>
          <w:color w:val="FF0000"/>
          <w:spacing w:val="70"/>
          <w:sz w:val="72"/>
          <w:szCs w:val="24"/>
          <w:lang w:val="en-US"/>
        </w:rPr>
      </w:pPr>
      <w:r>
        <w:rPr>
          <w:rFonts w:hint="eastAsia" w:ascii="方正小标宋_GBK" w:hAnsi="宋体" w:eastAsia="方正小标宋_GBK" w:cs="方正小标宋_GBK"/>
          <w:bCs/>
          <w:color w:val="FF0000"/>
          <w:spacing w:val="70"/>
          <w:kern w:val="2"/>
          <w:sz w:val="72"/>
          <w:szCs w:val="24"/>
          <w:lang w:val="en-US" w:eastAsia="zh-CN" w:bidi="ar"/>
        </w:rPr>
        <w:t>上海电机学院文件</w:t>
      </w:r>
    </w:p>
    <w:p>
      <w:pPr>
        <w:keepNext w:val="0"/>
        <w:keepLines w:val="0"/>
        <w:widowControl w:val="0"/>
        <w:suppressLineNumbers w:val="0"/>
        <w:snapToGrid w:val="0"/>
        <w:spacing w:before="0" w:beforeAutospacing="0" w:after="0" w:afterAutospacing="0" w:line="560" w:lineRule="exact"/>
        <w:ind w:left="0" w:right="-126" w:rightChars="-60"/>
        <w:jc w:val="center"/>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126" w:rightChars="-60"/>
        <w:jc w:val="center"/>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沪电机院审〔2018〕297号</w:t>
      </w:r>
    </w:p>
    <w:p>
      <w:pPr>
        <w:keepNext w:val="0"/>
        <w:keepLines w:val="0"/>
        <w:widowControl w:val="0"/>
        <w:suppressLineNumbers w:val="0"/>
        <w:snapToGrid w:val="0"/>
        <w:spacing w:before="0" w:beforeAutospacing="0" w:after="0" w:afterAutospacing="0" w:line="560" w:lineRule="exact"/>
        <w:ind w:left="0" w:right="-126" w:rightChars="-60" w:firstLine="320" w:firstLineChars="100"/>
        <w:jc w:val="center"/>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color w:val="FF0000"/>
          <w:sz w:val="32"/>
          <w:szCs w:val="32"/>
          <w:lang w:val="en-US"/>
        </w:rPr>
      </w:pPr>
      <w:bookmarkStart w:id="0" w:name="_GoBack"/>
      <w:r>
        <w:rPr>
          <w:rFonts w:hint="default" w:ascii="Calibri" w:hAnsi="Calibri" w:eastAsia="宋体" w:cs="Times New Roman"/>
          <w:snapToGrid w:val="0"/>
          <w:kern w:val="2"/>
          <w:sz w:val="21"/>
          <w:szCs w:val="24"/>
          <w:lang w:val="en-US" w:eastAsia="zh-CN" w:bidi="ar"/>
        </w:rPr>
        <mc:AlternateContent>
          <mc:Choice Requires="wps">
            <w:drawing>
              <wp:anchor distT="0" distB="0" distL="114300" distR="114300" simplePos="0" relativeHeight="251133952" behindDoc="0" locked="0" layoutInCell="1" allowOverlap="1">
                <wp:simplePos x="0" y="0"/>
                <wp:positionH relativeFrom="column">
                  <wp:posOffset>0</wp:posOffset>
                </wp:positionH>
                <wp:positionV relativeFrom="paragraph">
                  <wp:posOffset>144145</wp:posOffset>
                </wp:positionV>
                <wp:extent cx="5486400" cy="0"/>
                <wp:effectExtent l="0" t="0" r="0" b="0"/>
                <wp:wrapNone/>
                <wp:docPr id="1" name="直线 2"/>
                <wp:cNvGraphicFramePr/>
                <a:graphic xmlns:a="http://schemas.openxmlformats.org/drawingml/2006/main">
                  <a:graphicData uri="http://schemas.microsoft.com/office/word/2010/wordprocessingShape">
                    <wps:wsp>
                      <wps:cNvSpPr/>
                      <wps:spPr>
                        <a:xfrm>
                          <a:off x="0" y="0"/>
                          <a:ext cx="54864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32pt;z-index:251133952;mso-width-relative:page;mso-height-relative:page;" stroked="t" coordsize="21600,21600" o:gfxdata="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6Py31AAAAAYBAAAPAAAAAAAAAAEAIAAAACIAAABkcnMv&#10;ZG93bnJldi54bWxQSwECFAAUAAAACACHTuJAdJmN7s4BAACOAwAADgAAAAAAAAABACAAAAAjAQAA&#10;ZHJzL2Uyb0RvYy54bWxQSwUGAAAAAAYABgBZAQAAYwUAAAAA&#10;">
                <v:path arrowok="t"/>
                <v:fill focussize="0,0"/>
                <v:stroke weight="2pt" color="#FF0000"/>
                <v:imagedata o:title=""/>
                <o:lock v:ext="edit"/>
              </v:line>
            </w:pict>
          </mc:Fallback>
        </mc:AlternateContent>
      </w:r>
      <w:bookmarkEnd w:id="0"/>
    </w:p>
    <w:p>
      <w:pPr>
        <w:keepNext w:val="0"/>
        <w:keepLines w:val="0"/>
        <w:widowControl w:val="0"/>
        <w:suppressLineNumbers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color w:val="000000"/>
          <w:sz w:val="32"/>
          <w:szCs w:val="32"/>
          <w:lang w:val="en-US"/>
        </w:rPr>
      </w:pPr>
    </w:p>
    <w:p>
      <w:pPr>
        <w:keepNext w:val="0"/>
        <w:keepLines w:val="0"/>
        <w:widowControl w:val="0"/>
        <w:suppressLineNumbers w:val="0"/>
        <w:snapToGrid w:val="0"/>
        <w:spacing w:before="0" w:beforeAutospacing="0" w:after="0" w:afterAutospacing="0" w:line="500" w:lineRule="atLeast"/>
        <w:ind w:left="0" w:right="0"/>
        <w:jc w:val="center"/>
        <w:rPr>
          <w:rFonts w:hint="eastAsia" w:ascii="方正小标宋_GBK" w:hAnsi="宋体" w:eastAsia="方正小标宋_GBK" w:cs="方正小标宋_GBK"/>
          <w:sz w:val="44"/>
          <w:szCs w:val="44"/>
          <w:lang w:val="en-US"/>
        </w:rPr>
      </w:pPr>
      <w:r>
        <w:rPr>
          <w:rFonts w:hint="eastAsia" w:ascii="方正小标宋_GBK" w:hAnsi="宋体" w:eastAsia="方正小标宋_GBK" w:cs="方正小标宋_GBK"/>
          <w:kern w:val="2"/>
          <w:sz w:val="44"/>
          <w:szCs w:val="44"/>
          <w:lang w:val="en-US" w:eastAsia="zh-CN" w:bidi="ar"/>
        </w:rPr>
        <w:t>关于印发上海电机学院审计整改</w:t>
      </w:r>
    </w:p>
    <w:p>
      <w:pPr>
        <w:keepNext w:val="0"/>
        <w:keepLines w:val="0"/>
        <w:widowControl w:val="0"/>
        <w:suppressLineNumbers w:val="0"/>
        <w:snapToGrid w:val="0"/>
        <w:spacing w:before="0" w:beforeAutospacing="0" w:after="0" w:afterAutospacing="0" w:line="500" w:lineRule="atLeast"/>
        <w:ind w:left="0" w:right="0"/>
        <w:jc w:val="center"/>
        <w:rPr>
          <w:rFonts w:hint="eastAsia" w:ascii="方正小标宋_GBK" w:hAnsi="宋体" w:eastAsia="方正小标宋_GBK" w:cs="方正小标宋_GBK"/>
          <w:sz w:val="44"/>
          <w:szCs w:val="44"/>
          <w:lang w:val="en-US"/>
        </w:rPr>
      </w:pPr>
      <w:r>
        <w:rPr>
          <w:rFonts w:hint="eastAsia" w:ascii="方正小标宋_GBK" w:hAnsi="宋体" w:eastAsia="方正小标宋_GBK" w:cs="方正小标宋_GBK"/>
          <w:kern w:val="2"/>
          <w:sz w:val="44"/>
          <w:szCs w:val="44"/>
          <w:lang w:val="en-US" w:eastAsia="zh-CN" w:bidi="ar"/>
        </w:rPr>
        <w:t xml:space="preserve">办法（试行）的通知 </w:t>
      </w: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sz w:val="32"/>
          <w:szCs w:val="32"/>
          <w:lang w:val="en-US"/>
        </w:rPr>
      </w:pPr>
    </w:p>
    <w:p>
      <w:pPr>
        <w:keepNext w:val="0"/>
        <w:keepLines w:val="0"/>
        <w:widowControl w:val="0"/>
        <w:suppressLineNumbers w:val="0"/>
        <w:snapToGrid w:val="0"/>
        <w:spacing w:before="0" w:beforeAutospacing="0" w:after="0" w:afterAutospacing="0" w:line="560" w:lineRule="exact"/>
        <w:ind w:left="0" w:right="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各部门、二级学院：</w:t>
      </w:r>
    </w:p>
    <w:p>
      <w:pPr>
        <w:keepNext w:val="0"/>
        <w:keepLines w:val="0"/>
        <w:widowControl w:val="0"/>
        <w:suppressLineNumbers w:val="0"/>
        <w:snapToGrid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根据《上海市人民政府办公厅印发关于进一步建立健全审计整改工作制度实施意见的通知》（沪府办发〔2014〕2号）文件精神，按照上海市教委关于审计整改工作的会议精神，为落实好审计整改工作，现制定《上海电机学院审计整改办法（试行）》，望认真贯彻落实。</w:t>
      </w:r>
    </w:p>
    <w:p>
      <w:pPr>
        <w:keepNext w:val="0"/>
        <w:keepLines w:val="0"/>
        <w:widowControl w:val="0"/>
        <w:suppressLineNumbers w:val="0"/>
        <w:snapToGrid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附件： 上海电机学院审计整改办法（试行）</w:t>
      </w:r>
    </w:p>
    <w:p>
      <w:pPr>
        <w:keepNext w:val="0"/>
        <w:keepLines w:val="0"/>
        <w:widowControl w:val="0"/>
        <w:suppressLineNumbers w:val="0"/>
        <w:snapToGrid w:val="0"/>
        <w:spacing w:before="0" w:beforeAutospacing="0" w:after="0" w:afterAutospacing="0" w:line="480" w:lineRule="exact"/>
        <w:ind w:left="0" w:right="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仿宋_GB2312" w:eastAsia="仿宋_GB2312" w:cs="仿宋_GB2312"/>
          <w:color w:val="FF0000"/>
          <w:sz w:val="32"/>
          <w:szCs w:val="32"/>
          <w:lang w:val="en-US"/>
        </w:rPr>
      </w:pPr>
    </w:p>
    <w:p>
      <w:pPr>
        <w:keepNext w:val="0"/>
        <w:keepLines w:val="0"/>
        <w:widowControl w:val="0"/>
        <w:suppressLineNumbers w:val="0"/>
        <w:snapToGrid w:val="0"/>
        <w:spacing w:before="0" w:beforeAutospacing="0" w:after="0" w:afterAutospacing="0" w:line="560" w:lineRule="exact"/>
        <w:ind w:left="0" w:right="192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 xml:space="preserve">                              上海电机学院</w:t>
      </w: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2018年10月17日</w:t>
      </w: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p>
      <w:pPr>
        <w:keepNext w:val="0"/>
        <w:keepLines w:val="0"/>
        <w:widowControl w:val="0"/>
        <w:suppressLineNumbers w:val="0"/>
        <w:snapToGrid w:val="0"/>
        <w:spacing w:before="0" w:beforeAutospacing="0" w:after="0" w:afterAutospacing="0" w:line="560" w:lineRule="exact"/>
        <w:ind w:left="0" w:right="840" w:rightChars="400" w:firstLine="4480" w:firstLineChars="1400"/>
        <w:jc w:val="both"/>
        <w:rPr>
          <w:rFonts w:hint="eastAsia" w:ascii="仿宋_GB2312" w:eastAsia="仿宋_GB2312" w:cs="仿宋_GB2312"/>
          <w:color w:val="000000"/>
          <w:sz w:val="32"/>
          <w:szCs w:val="32"/>
          <w:lang w:val="en-US"/>
        </w:rPr>
      </w:pPr>
    </w:p>
    <w:tbl>
      <w:tblPr>
        <w:tblStyle w:val="5"/>
        <w:tblpPr w:leftFromText="180" w:rightFromText="180" w:vertAnchor="text" w:horzAnchor="margin" w:tblpXSpec="left" w:tblpY="54"/>
        <w:tblW w:w="8528" w:type="dxa"/>
        <w:tblInd w:w="0"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528"/>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PrEx>
        <w:tc>
          <w:tcPr>
            <w:tcW w:w="8528" w:type="dxa"/>
            <w:tcBorders>
              <w:top w:val="single" w:color="auto" w:sz="12" w:space="0"/>
              <w:left w:val="nil"/>
              <w:bottom w:val="single" w:color="auto" w:sz="12" w:space="0"/>
              <w:right w:val="nil"/>
            </w:tcBorders>
            <w:shd w:val="clear"/>
            <w:vAlign w:val="top"/>
          </w:tcPr>
          <w:p>
            <w:pPr>
              <w:keepNext w:val="0"/>
              <w:keepLines w:val="0"/>
              <w:widowControl w:val="0"/>
              <w:suppressLineNumbers w:val="0"/>
              <w:snapToGrid w:val="0"/>
              <w:spacing w:before="0" w:beforeAutospacing="0" w:after="0" w:afterAutospacing="0" w:line="500" w:lineRule="atLeast"/>
              <w:ind w:left="0" w:right="82" w:rightChars="39" w:firstLine="280" w:firstLineChars="100"/>
              <w:jc w:val="both"/>
              <w:rPr>
                <w:rFonts w:hint="eastAsia" w:ascii="仿宋_GB2312" w:hAnsi="宋体" w:eastAsia="仿宋_GB2312" w:cs="仿宋_GB2312"/>
                <w:color w:val="000000"/>
                <w:sz w:val="28"/>
                <w:szCs w:val="28"/>
                <w:bdr w:val="none" w:color="auto" w:sz="0" w:space="0"/>
                <w:lang w:val="en-US"/>
              </w:rPr>
            </w:pPr>
            <w:r>
              <w:rPr>
                <w:rFonts w:hint="eastAsia" w:ascii="仿宋_GB2312" w:hAnsi="Calibri" w:eastAsia="仿宋_GB2312" w:cs="仿宋_GB2312"/>
                <w:color w:val="000000"/>
                <w:kern w:val="2"/>
                <w:sz w:val="28"/>
                <w:szCs w:val="28"/>
                <w:bdr w:val="none" w:color="auto" w:sz="0" w:space="0"/>
                <w:lang w:val="en-US" w:eastAsia="zh-CN" w:bidi="ar"/>
              </w:rPr>
              <w:t xml:space="preserve">上海电机学院党政办公室               2018年10月17日印发  </w:t>
            </w:r>
          </w:p>
        </w:tc>
      </w:tr>
    </w:tbl>
    <w:p>
      <w:pPr>
        <w:keepNext w:val="0"/>
        <w:keepLines w:val="0"/>
        <w:widowControl w:val="0"/>
        <w:suppressLineNumbers w:val="0"/>
        <w:spacing w:before="0" w:beforeAutospacing="0" w:after="0" w:afterAutospacing="0"/>
        <w:ind w:left="0" w:right="0"/>
        <w:jc w:val="left"/>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 xml:space="preserve">附件：     </w:t>
      </w:r>
    </w:p>
    <w:p>
      <w:pPr>
        <w:keepNext w:val="0"/>
        <w:keepLines w:val="0"/>
        <w:widowControl w:val="0"/>
        <w:suppressLineNumbers w:val="0"/>
        <w:spacing w:before="0" w:beforeAutospacing="0" w:after="0" w:afterAutospacing="0"/>
        <w:ind w:left="0" w:right="0"/>
        <w:jc w:val="center"/>
        <w:rPr>
          <w:rFonts w:hint="eastAsia" w:ascii="方正大标宋_GBK" w:hAnsi="微软雅黑" w:eastAsia="方正大标宋_GBK" w:cs="宋体"/>
          <w:bCs/>
          <w:kern w:val="0"/>
          <w:sz w:val="36"/>
          <w:szCs w:val="36"/>
          <w:lang w:val="en-US"/>
        </w:rPr>
      </w:pPr>
      <w:r>
        <w:rPr>
          <w:rFonts w:hint="eastAsia" w:ascii="方正大标宋_GBK" w:hAnsi="微软雅黑" w:eastAsia="方正大标宋_GBK" w:cs="宋体"/>
          <w:bCs/>
          <w:kern w:val="0"/>
          <w:sz w:val="36"/>
          <w:szCs w:val="36"/>
          <w:lang w:val="en-US" w:eastAsia="zh-CN" w:bidi="ar"/>
        </w:rPr>
        <w:t>上海电机学院审计整改办法（试行）</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color w:val="333333"/>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第一章  总则</w:t>
      </w:r>
    </w:p>
    <w:p>
      <w:pPr>
        <w:keepNext w:val="0"/>
        <w:keepLines w:val="0"/>
        <w:widowControl/>
        <w:suppressLineNumbers w:val="0"/>
        <w:spacing w:before="0" w:beforeAutospacing="0" w:after="0" w:afterAutospacing="0" w:line="360" w:lineRule="auto"/>
        <w:ind w:left="0" w:right="0" w:firstLine="562" w:firstLineChars="200"/>
        <w:jc w:val="left"/>
        <w:rPr>
          <w:rFonts w:hint="eastAsia" w:ascii="仿宋" w:hAnsi="仿宋" w:eastAsia="仿宋" w:cs="宋体"/>
          <w:color w:val="000000"/>
          <w:kern w:val="0"/>
          <w:sz w:val="28"/>
          <w:szCs w:val="28"/>
          <w:lang w:val="en-US"/>
        </w:rPr>
      </w:pPr>
      <w:r>
        <w:rPr>
          <w:rFonts w:hint="eastAsia" w:ascii="仿宋" w:hAnsi="仿宋" w:eastAsia="仿宋" w:cs="宋体"/>
          <w:b/>
          <w:bCs w:val="0"/>
          <w:color w:val="000000"/>
          <w:kern w:val="0"/>
          <w:sz w:val="28"/>
          <w:szCs w:val="28"/>
          <w:lang w:val="en-US" w:eastAsia="zh-CN" w:bidi="ar"/>
        </w:rPr>
        <w:t>第一条</w:t>
      </w:r>
      <w:r>
        <w:rPr>
          <w:rFonts w:hint="eastAsia" w:ascii="仿宋" w:hAnsi="仿宋" w:eastAsia="仿宋" w:cs="宋体"/>
          <w:color w:val="000000"/>
          <w:kern w:val="0"/>
          <w:sz w:val="28"/>
          <w:szCs w:val="28"/>
          <w:lang w:val="en-US" w:eastAsia="zh-CN" w:bidi="ar"/>
        </w:rPr>
        <w:t xml:space="preserve">  为了强化我校审计整改工作，建立健全审计整改工作制度，切实提高审计整改的质量和效果，根据《教育部经济责任审计整改工作办法》的精神，为进一步加强审计整改工作，提高审计整改工作的效率和效果，促进被审计单位（部门）及时堵塞管理漏洞，规范管理行为，特制定本制度。</w:t>
      </w:r>
    </w:p>
    <w:p>
      <w:pPr>
        <w:keepNext w:val="0"/>
        <w:keepLines w:val="0"/>
        <w:widowControl/>
        <w:suppressLineNumbers w:val="0"/>
        <w:spacing w:before="0" w:beforeAutospacing="0" w:after="0" w:afterAutospacing="0" w:line="576" w:lineRule="exact"/>
        <w:ind w:left="0" w:right="0" w:firstLine="562" w:firstLineChars="200"/>
        <w:jc w:val="left"/>
        <w:rPr>
          <w:rFonts w:hint="eastAsia" w:ascii="仿宋" w:hAnsi="仿宋" w:eastAsia="仿宋" w:cs="宋体"/>
          <w:color w:val="000000"/>
          <w:kern w:val="0"/>
          <w:sz w:val="28"/>
          <w:szCs w:val="28"/>
          <w:lang w:val="en-US"/>
        </w:rPr>
      </w:pPr>
      <w:r>
        <w:rPr>
          <w:rFonts w:hint="eastAsia" w:ascii="仿宋" w:hAnsi="仿宋" w:eastAsia="仿宋" w:cs="宋体"/>
          <w:b/>
          <w:bCs w:val="0"/>
          <w:color w:val="000000"/>
          <w:kern w:val="0"/>
          <w:sz w:val="28"/>
          <w:szCs w:val="28"/>
          <w:lang w:val="en-US" w:eastAsia="zh-CN" w:bidi="ar"/>
        </w:rPr>
        <w:t>第二条</w:t>
      </w:r>
      <w:r>
        <w:rPr>
          <w:rFonts w:hint="eastAsia" w:ascii="仿宋" w:hAnsi="仿宋" w:eastAsia="仿宋" w:cs="宋体"/>
          <w:color w:val="000000"/>
          <w:kern w:val="0"/>
          <w:sz w:val="28"/>
          <w:szCs w:val="28"/>
          <w:lang w:val="en-US" w:eastAsia="zh-CN" w:bidi="ar"/>
        </w:rPr>
        <w:t xml:space="preserve">  审计整改工作由“上海电机学院审计整改领导小组”全面领导，由“上海电机学院审计整改工作小组”全权负责，由学校审计处具体执行。</w:t>
      </w:r>
    </w:p>
    <w:p>
      <w:pPr>
        <w:keepNext w:val="0"/>
        <w:keepLines w:val="0"/>
        <w:widowControl w:val="0"/>
        <w:suppressLineNumbers w:val="0"/>
        <w:spacing w:before="0" w:beforeAutospacing="0" w:after="0" w:afterAutospacing="0" w:line="576" w:lineRule="exact"/>
        <w:ind w:left="0" w:right="0" w:firstLine="562" w:firstLineChars="200"/>
        <w:jc w:val="both"/>
        <w:rPr>
          <w:rFonts w:hint="eastAsia" w:ascii="仿宋_GB2312" w:hAnsi="宋体" w:eastAsia="仿宋_GB2312" w:cs="宋体"/>
          <w:color w:val="000000"/>
          <w:kern w:val="0"/>
          <w:sz w:val="32"/>
          <w:szCs w:val="32"/>
          <w:lang w:val="en-US"/>
        </w:rPr>
      </w:pPr>
      <w:r>
        <w:rPr>
          <w:rFonts w:hint="eastAsia" w:ascii="仿宋" w:hAnsi="仿宋" w:eastAsia="仿宋" w:cs="宋体"/>
          <w:b/>
          <w:bCs w:val="0"/>
          <w:color w:val="000000"/>
          <w:kern w:val="0"/>
          <w:sz w:val="28"/>
          <w:szCs w:val="28"/>
          <w:lang w:val="en-US" w:eastAsia="zh-CN" w:bidi="ar"/>
        </w:rPr>
        <w:t>第三条</w:t>
      </w:r>
      <w:r>
        <w:rPr>
          <w:rFonts w:hint="eastAsia" w:ascii="仿宋" w:hAnsi="仿宋" w:eastAsia="仿宋" w:cs="Tahoma"/>
          <w:b/>
          <w:color w:val="000000"/>
          <w:kern w:val="0"/>
          <w:sz w:val="28"/>
          <w:szCs w:val="28"/>
          <w:lang w:val="en-US" w:eastAsia="zh-CN" w:bidi="ar"/>
        </w:rPr>
        <w:t xml:space="preserve">  </w:t>
      </w:r>
      <w:r>
        <w:rPr>
          <w:rFonts w:hint="eastAsia" w:ascii="仿宋" w:hAnsi="仿宋" w:eastAsia="仿宋" w:cs="宋体"/>
          <w:color w:val="000000"/>
          <w:kern w:val="0"/>
          <w:sz w:val="28"/>
          <w:szCs w:val="28"/>
          <w:lang w:val="en-US" w:eastAsia="zh-CN" w:bidi="ar"/>
        </w:rPr>
        <w:t>审计处负责联络和召集召开整改工作小组会议，整改工作小组就审计发现的问题，整改工作的重点难点及整改责任的落实等问题进行集体讨论决策。整改工作小组每年定期向整改领导小组汇报审计整改工作情况。</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第二章  审计整改</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bCs/>
          <w:color w:val="000000"/>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第四条</w:t>
      </w:r>
      <w:r>
        <w:rPr>
          <w:rFonts w:hint="eastAsia" w:ascii="仿宋" w:hAnsi="仿宋" w:eastAsia="仿宋" w:cs="宋体"/>
          <w:color w:val="000000"/>
          <w:kern w:val="0"/>
          <w:sz w:val="28"/>
          <w:szCs w:val="28"/>
          <w:shd w:val="clear" w:fill="FFFFFF"/>
          <w:lang w:val="en-US" w:eastAsia="zh-CN" w:bidi="ar"/>
        </w:rPr>
        <w:t xml:space="preserve">  </w:t>
      </w:r>
      <w:r>
        <w:rPr>
          <w:rFonts w:hint="eastAsia" w:ascii="仿宋" w:hAnsi="仿宋" w:eastAsia="仿宋" w:cs="Tahoma"/>
          <w:bCs/>
          <w:color w:val="000000"/>
          <w:kern w:val="0"/>
          <w:sz w:val="28"/>
          <w:szCs w:val="28"/>
          <w:shd w:val="clear" w:fill="FFFFFF"/>
          <w:lang w:val="en-US" w:eastAsia="zh-CN" w:bidi="ar"/>
        </w:rPr>
        <w:t>审计处应在审计报告完成后及时将审计整改问题清单和整改要求送达被审计单位（部门）。</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第五条</w:t>
      </w:r>
      <w:r>
        <w:rPr>
          <w:rFonts w:hint="eastAsia" w:ascii="仿宋" w:hAnsi="仿宋" w:eastAsia="仿宋" w:cs="Tahoma"/>
          <w:bCs/>
          <w:color w:val="000000"/>
          <w:kern w:val="0"/>
          <w:sz w:val="28"/>
          <w:szCs w:val="28"/>
          <w:shd w:val="clear" w:fill="FFFFFF"/>
          <w:lang w:val="en-US" w:eastAsia="zh-CN" w:bidi="ar"/>
        </w:rPr>
        <w:t xml:space="preserve">  被审计单位（部门）收到《审计整改问题清单》后，</w:t>
      </w:r>
      <w:r>
        <w:rPr>
          <w:rFonts w:hint="eastAsia" w:ascii="仿宋" w:hAnsi="仿宋" w:eastAsia="仿宋" w:cs="Tahoma"/>
          <w:bCs/>
          <w:color w:val="333333"/>
          <w:kern w:val="0"/>
          <w:sz w:val="28"/>
          <w:szCs w:val="28"/>
          <w:shd w:val="clear" w:fill="FFFFFF"/>
          <w:lang w:val="en-US" w:eastAsia="zh-CN" w:bidi="ar"/>
        </w:rPr>
        <w:t>应及时对审计提出的问题进行整改，并且在规定时间内（原则上不超过60日）填写</w:t>
      </w:r>
      <w:r>
        <w:rPr>
          <w:rFonts w:hint="eastAsia" w:ascii="仿宋" w:hAnsi="仿宋" w:eastAsia="仿宋" w:cs="Tahoma"/>
          <w:bCs/>
          <w:color w:val="000000"/>
          <w:kern w:val="0"/>
          <w:sz w:val="28"/>
          <w:szCs w:val="28"/>
          <w:shd w:val="clear" w:fill="FFFFFF"/>
          <w:lang w:val="en-US" w:eastAsia="zh-CN" w:bidi="ar"/>
        </w:rPr>
        <w:t>《审计整改结果清单》，并经审计整改第一责任人签字后报送审计处。</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第六条</w:t>
      </w:r>
      <w:r>
        <w:rPr>
          <w:rFonts w:hint="eastAsia" w:ascii="仿宋" w:hAnsi="仿宋" w:eastAsia="仿宋" w:cs="Tahoma"/>
          <w:b/>
          <w:color w:val="000000"/>
          <w:kern w:val="0"/>
          <w:sz w:val="28"/>
          <w:szCs w:val="28"/>
          <w:shd w:val="clear" w:fill="FFFFFF"/>
          <w:lang w:val="en-US" w:eastAsia="zh-CN" w:bidi="ar"/>
        </w:rPr>
        <w:t xml:space="preserve">  </w:t>
      </w:r>
      <w:r>
        <w:rPr>
          <w:rFonts w:hint="eastAsia" w:ascii="仿宋" w:hAnsi="仿宋" w:eastAsia="仿宋" w:cs="Tahoma"/>
          <w:bCs/>
          <w:color w:val="000000"/>
          <w:kern w:val="0"/>
          <w:sz w:val="28"/>
          <w:szCs w:val="28"/>
          <w:shd w:val="clear" w:fill="FFFFFF"/>
          <w:lang w:val="en-US" w:eastAsia="zh-CN" w:bidi="ar"/>
        </w:rPr>
        <w:t>被审计单位（部门）在报送《审计整改结果清单表》时，需一并提供落实审计整改的必要证明材料，主要包括：财务调整证明、补办审批文件，制订、修改或者废除有关规章制度或政策措施的文件等。</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第七条</w:t>
      </w:r>
      <w:r>
        <w:rPr>
          <w:rFonts w:hint="eastAsia" w:ascii="仿宋" w:hAnsi="仿宋" w:eastAsia="仿宋" w:cs="Tahoma"/>
          <w:bCs/>
          <w:color w:val="000000"/>
          <w:kern w:val="0"/>
          <w:sz w:val="28"/>
          <w:szCs w:val="28"/>
          <w:shd w:val="clear" w:fill="FFFFFF"/>
          <w:lang w:val="en-US" w:eastAsia="zh-CN" w:bidi="ar"/>
        </w:rPr>
        <w:t xml:space="preserve">  被审计单位（部门）为审计整改直接责任部门，被审计单位（部门）行政负责人为审计整改第一责任人。</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第八条</w:t>
      </w:r>
      <w:r>
        <w:rPr>
          <w:rFonts w:hint="eastAsia" w:ascii="仿宋" w:hAnsi="仿宋" w:eastAsia="仿宋" w:cs="Tahoma"/>
          <w:b/>
          <w:color w:val="000000"/>
          <w:kern w:val="0"/>
          <w:sz w:val="28"/>
          <w:szCs w:val="28"/>
          <w:shd w:val="clear" w:fill="FFFFFF"/>
          <w:lang w:val="en-US" w:eastAsia="zh-CN" w:bidi="ar"/>
        </w:rPr>
        <w:t xml:space="preserve"> </w:t>
      </w:r>
      <w:r>
        <w:rPr>
          <w:rFonts w:hint="eastAsia" w:ascii="仿宋" w:hAnsi="仿宋" w:eastAsia="仿宋" w:cs="Tahoma"/>
          <w:bCs/>
          <w:color w:val="000000"/>
          <w:kern w:val="0"/>
          <w:sz w:val="28"/>
          <w:szCs w:val="28"/>
          <w:shd w:val="clear" w:fill="FFFFFF"/>
          <w:lang w:val="en-US" w:eastAsia="zh-CN" w:bidi="ar"/>
        </w:rPr>
        <w:t>审计整改情况将纳入有关单位（部门）年度工作的考核指标，并作为评价领导干部(人员)工作业绩、职务任免及奖惩的重要依据之一。</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第三章  审计回访</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第九条</w:t>
      </w:r>
      <w:r>
        <w:rPr>
          <w:rFonts w:hint="eastAsia" w:ascii="仿宋" w:hAnsi="仿宋" w:eastAsia="仿宋" w:cs="Tahoma"/>
          <w:bCs/>
          <w:color w:val="000000"/>
          <w:kern w:val="0"/>
          <w:sz w:val="28"/>
          <w:szCs w:val="28"/>
          <w:shd w:val="clear" w:fill="FFFFFF"/>
          <w:lang w:val="en-US" w:eastAsia="zh-CN" w:bidi="ar"/>
        </w:rPr>
        <w:t xml:space="preserve">  审计处对被审计单位（部门）</w:t>
      </w:r>
      <w:r>
        <w:rPr>
          <w:rFonts w:hint="eastAsia" w:ascii="仿宋" w:hAnsi="仿宋" w:eastAsia="仿宋" w:cs="Tahoma"/>
          <w:bCs/>
          <w:color w:val="333333"/>
          <w:kern w:val="0"/>
          <w:sz w:val="28"/>
          <w:szCs w:val="28"/>
          <w:shd w:val="clear" w:fill="FFFFFF"/>
          <w:lang w:val="en-US" w:eastAsia="zh-CN" w:bidi="ar"/>
        </w:rPr>
        <w:t>的审计</w:t>
      </w:r>
      <w:r>
        <w:rPr>
          <w:rFonts w:hint="eastAsia" w:ascii="仿宋" w:hAnsi="仿宋" w:eastAsia="仿宋" w:cs="Tahoma"/>
          <w:bCs/>
          <w:color w:val="000000"/>
          <w:kern w:val="0"/>
          <w:sz w:val="28"/>
          <w:szCs w:val="28"/>
          <w:shd w:val="clear" w:fill="FFFFFF"/>
          <w:lang w:val="en-US" w:eastAsia="zh-CN" w:bidi="ar"/>
        </w:rPr>
        <w:t>整改、落实情况进行回访。</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第十条</w:t>
      </w:r>
      <w:r>
        <w:rPr>
          <w:rFonts w:hint="eastAsia" w:ascii="仿宋" w:hAnsi="仿宋" w:eastAsia="仿宋" w:cs="Tahoma"/>
          <w:bCs/>
          <w:color w:val="000000"/>
          <w:kern w:val="0"/>
          <w:sz w:val="28"/>
          <w:szCs w:val="28"/>
          <w:shd w:val="clear" w:fill="FFFFFF"/>
          <w:lang w:val="en-US" w:eastAsia="zh-CN" w:bidi="ar"/>
        </w:rPr>
        <w:t xml:space="preserve">  审计回访时间一般定于审计后的第二年内完成，审计回访率须达到应回访单位（部门）的40%以上。</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第四章  附则</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Tahoma"/>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第十一条</w:t>
      </w:r>
      <w:r>
        <w:rPr>
          <w:rFonts w:hint="eastAsia" w:ascii="仿宋" w:hAnsi="仿宋" w:eastAsia="仿宋" w:cs="宋体"/>
          <w:color w:val="000000"/>
          <w:kern w:val="0"/>
          <w:sz w:val="28"/>
          <w:szCs w:val="28"/>
          <w:shd w:val="clear" w:fill="FFFFFF"/>
          <w:lang w:val="en-US" w:eastAsia="zh-CN" w:bidi="ar"/>
        </w:rPr>
        <w:t xml:space="preserve">  本办法由审计处负责解释。</w:t>
      </w:r>
    </w:p>
    <w:p>
      <w:pPr>
        <w:keepNext w:val="0"/>
        <w:keepLines w:val="0"/>
        <w:widowControl/>
        <w:suppressLineNumbers w:val="0"/>
        <w:shd w:val="clear" w:fill="FFFFFF"/>
        <w:snapToGrid w:val="0"/>
        <w:spacing w:before="0" w:beforeAutospacing="1" w:after="0" w:afterAutospacing="1" w:line="360" w:lineRule="auto"/>
        <w:ind w:left="0" w:right="0" w:firstLine="562" w:firstLineChars="200"/>
        <w:jc w:val="left"/>
        <w:rPr>
          <w:rFonts w:hint="eastAsia" w:ascii="仿宋" w:hAnsi="仿宋" w:eastAsia="仿宋" w:cs="宋体"/>
          <w:color w:val="333333"/>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第十二条</w:t>
      </w:r>
      <w:r>
        <w:rPr>
          <w:rFonts w:hint="eastAsia" w:ascii="仿宋" w:hAnsi="仿宋" w:eastAsia="仿宋" w:cs="宋体"/>
          <w:color w:val="000000"/>
          <w:kern w:val="0"/>
          <w:sz w:val="28"/>
          <w:szCs w:val="28"/>
          <w:shd w:val="clear" w:fill="FFFFFF"/>
          <w:lang w:val="en-US" w:eastAsia="zh-CN" w:bidi="ar"/>
        </w:rPr>
        <w:t xml:space="preserve">  本办法自颁布之日起施行。</w:t>
      </w:r>
    </w:p>
    <w:p>
      <w:pPr>
        <w:spacing w:line="360" w:lineRule="auto"/>
        <w:rPr>
          <w:rFonts w:hint="eastAsia" w:ascii="仿宋" w:hAnsi="仿宋" w:eastAsia="仿宋" w:cs="宋体"/>
          <w:color w:val="333333"/>
          <w:sz w:val="28"/>
          <w:szCs w:val="28"/>
          <w:lang w:val="en-US" w:eastAsia="zh-CN" w:bidi="ar"/>
        </w:rPr>
        <w:sectPr>
          <w:pgSz w:w="11906" w:h="16838"/>
          <w:pgMar w:top="2098" w:right="1588" w:bottom="1702" w:left="1588" w:header="851" w:footer="992" w:gutter="0"/>
          <w:paperSrc/>
          <w:pgNumType w:fmt="numberInDash" w:start="1"/>
          <w:cols w:space="425" w:num="1"/>
          <w:docGrid w:type="lines" w:linePitch="312" w:charSpace="0"/>
        </w:sectPr>
      </w:pPr>
    </w:p>
    <w:p>
      <w:pPr>
        <w:keepNext w:val="0"/>
        <w:keepLines w:val="0"/>
        <w:widowControl/>
        <w:suppressLineNumbers w:val="0"/>
        <w:spacing w:before="0" w:beforeAutospacing="0" w:after="0" w:afterAutospacing="0" w:line="160" w:lineRule="atLeast"/>
        <w:ind w:left="601" w:right="0" w:firstLine="140" w:firstLineChars="50"/>
        <w:jc w:val="left"/>
        <w:rPr>
          <w:rFonts w:hint="eastAsia" w:ascii="仿宋" w:hAnsi="仿宋" w:eastAsia="仿宋" w:cs="宋体"/>
          <w:color w:val="333333"/>
          <w:kern w:val="0"/>
          <w:sz w:val="28"/>
          <w:szCs w:val="28"/>
          <w:lang w:val="en-US"/>
        </w:rPr>
      </w:pPr>
      <w:r>
        <w:rPr>
          <w:rFonts w:hint="eastAsia" w:ascii="仿宋" w:hAnsi="仿宋" w:eastAsia="仿宋" w:cs="宋体"/>
          <w:color w:val="333333"/>
          <w:kern w:val="0"/>
          <w:sz w:val="28"/>
          <w:szCs w:val="28"/>
          <w:lang w:val="en-US" w:eastAsia="zh-CN" w:bidi="ar"/>
        </w:rPr>
        <w:t>附件：1.审计整改问题清单</w:t>
      </w:r>
    </w:p>
    <w:p>
      <w:pPr>
        <w:keepNext w:val="0"/>
        <w:keepLines w:val="0"/>
        <w:widowControl/>
        <w:suppressLineNumbers w:val="0"/>
        <w:spacing w:before="0" w:beforeAutospacing="0" w:after="0" w:afterAutospacing="0" w:line="160" w:lineRule="atLeast"/>
        <w:ind w:left="1581" w:right="0"/>
        <w:jc w:val="left"/>
        <w:rPr>
          <w:rFonts w:hint="eastAsia" w:ascii="仿宋" w:hAnsi="仿宋" w:eastAsia="仿宋" w:cs="宋体"/>
          <w:color w:val="333333"/>
          <w:kern w:val="0"/>
          <w:sz w:val="28"/>
          <w:szCs w:val="28"/>
          <w:lang w:val="en-US"/>
        </w:rPr>
      </w:pPr>
      <w:r>
        <w:rPr>
          <w:rFonts w:hint="eastAsia" w:ascii="仿宋" w:hAnsi="仿宋" w:eastAsia="仿宋" w:cs="宋体"/>
          <w:color w:val="333333"/>
          <w:kern w:val="0"/>
          <w:sz w:val="28"/>
          <w:szCs w:val="28"/>
          <w:lang w:val="en-US" w:eastAsia="zh-CN" w:bidi="ar"/>
        </w:rPr>
        <w:t>2.审计整改结果清单</w:t>
      </w: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line="160" w:lineRule="atLeast"/>
        <w:ind w:left="0" w:right="0"/>
        <w:jc w:val="left"/>
        <w:rPr>
          <w:rFonts w:hint="eastAsia" w:ascii="仿宋" w:hAnsi="仿宋" w:eastAsia="仿宋" w:cs="宋体"/>
          <w:color w:val="333333"/>
          <w:kern w:val="0"/>
          <w:sz w:val="28"/>
          <w:szCs w:val="28"/>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宋体"/>
          <w:color w:val="333333"/>
          <w:kern w:val="0"/>
          <w:sz w:val="28"/>
          <w:szCs w:val="28"/>
          <w:lang w:val="en-US"/>
        </w:rPr>
      </w:pP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附件1：             </w:t>
      </w:r>
    </w:p>
    <w:p>
      <w:pPr>
        <w:keepNext w:val="0"/>
        <w:keepLines w:val="0"/>
        <w:widowControl w:val="0"/>
        <w:suppressLineNumbers w:val="0"/>
        <w:adjustRightInd w:val="0"/>
        <w:snapToGrid w:val="0"/>
        <w:spacing w:before="156" w:beforeLines="50" w:beforeAutospacing="0" w:after="156" w:afterLines="50" w:afterAutospacing="0" w:line="360" w:lineRule="auto"/>
        <w:ind w:left="0" w:right="0" w:firstLine="2570" w:firstLineChars="800"/>
        <w:jc w:val="left"/>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审计整改问题清单</w:t>
      </w: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审计项目：</w:t>
      </w: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被审计单位：</w:t>
      </w:r>
    </w:p>
    <w:tbl>
      <w:tblPr>
        <w:tblStyle w:val="5"/>
        <w:tblW w:w="87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675"/>
        <w:gridCol w:w="2552"/>
        <w:gridCol w:w="850"/>
        <w:gridCol w:w="850"/>
        <w:gridCol w:w="2694"/>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963" w:hRule="atLeast"/>
        </w:trPr>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序号</w:t>
            </w:r>
          </w:p>
        </w:tc>
        <w:tc>
          <w:tcPr>
            <w:tcW w:w="2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问题</w:t>
            </w:r>
          </w:p>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摘要</w:t>
            </w:r>
          </w:p>
        </w:tc>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法规</w:t>
            </w:r>
          </w:p>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依据</w:t>
            </w:r>
          </w:p>
        </w:tc>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整改</w:t>
            </w:r>
          </w:p>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责任人</w:t>
            </w:r>
          </w:p>
        </w:tc>
        <w:tc>
          <w:tcPr>
            <w:tcW w:w="2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处理意见或建议</w:t>
            </w:r>
          </w:p>
        </w:tc>
        <w:tc>
          <w:tcPr>
            <w:tcW w:w="1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整改</w:t>
            </w:r>
          </w:p>
          <w:p>
            <w:pPr>
              <w:keepNext w:val="0"/>
              <w:keepLines w:val="0"/>
              <w:widowControl w:val="0"/>
              <w:suppressLineNumbers w:val="0"/>
              <w:adjustRightInd w:val="0"/>
              <w:snapToGrid w:val="0"/>
              <w:spacing w:before="156" w:beforeLines="50" w:beforeAutospacing="0" w:after="156" w:afterLines="50" w:afterAutospacing="0" w:line="240" w:lineRule="exact"/>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6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1</w:t>
            </w:r>
          </w:p>
        </w:tc>
        <w:tc>
          <w:tcPr>
            <w:tcW w:w="255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26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11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357" w:hRule="atLeast"/>
        </w:trPr>
        <w:tc>
          <w:tcPr>
            <w:tcW w:w="6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2</w:t>
            </w:r>
          </w:p>
        </w:tc>
        <w:tc>
          <w:tcPr>
            <w:tcW w:w="255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26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11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207" w:hRule="atLeast"/>
        </w:trPr>
        <w:tc>
          <w:tcPr>
            <w:tcW w:w="6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3</w:t>
            </w:r>
          </w:p>
        </w:tc>
        <w:tc>
          <w:tcPr>
            <w:tcW w:w="255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26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11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6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4</w:t>
            </w:r>
          </w:p>
        </w:tc>
        <w:tc>
          <w:tcPr>
            <w:tcW w:w="255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26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11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409" w:hRule="atLeast"/>
        </w:trPr>
        <w:tc>
          <w:tcPr>
            <w:tcW w:w="6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5</w:t>
            </w:r>
          </w:p>
        </w:tc>
        <w:tc>
          <w:tcPr>
            <w:tcW w:w="255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269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c>
          <w:tcPr>
            <w:tcW w:w="11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156" w:afterLines="50" w:afterAutospacing="0" w:line="360" w:lineRule="exact"/>
              <w:ind w:left="0" w:right="0"/>
              <w:jc w:val="center"/>
              <w:rPr>
                <w:rFonts w:hint="eastAsia" w:ascii="仿宋" w:hAnsi="仿宋" w:eastAsia="仿宋" w:cs="仿宋"/>
                <w:sz w:val="28"/>
                <w:szCs w:val="28"/>
                <w:bdr w:val="none" w:color="auto" w:sz="0" w:space="0"/>
                <w:lang w:val="en-US"/>
              </w:rPr>
            </w:pPr>
          </w:p>
        </w:tc>
      </w:tr>
    </w:tbl>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b/>
          <w:bCs w:val="0"/>
          <w:sz w:val="28"/>
          <w:szCs w:val="28"/>
          <w:lang w:val="en-US"/>
        </w:rPr>
      </w:pP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 xml:space="preserve">附件2：           </w:t>
      </w: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center"/>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审计整改结果清单</w:t>
      </w: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审计项目：</w:t>
      </w:r>
    </w:p>
    <w:tbl>
      <w:tblPr>
        <w:tblStyle w:val="5"/>
        <w:tblpPr w:leftFromText="180" w:rightFromText="180" w:vertAnchor="text" w:horzAnchor="page" w:tblpX="1354" w:tblpY="532"/>
        <w:tblOverlap w:val="never"/>
        <w:tblW w:w="92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567"/>
        <w:gridCol w:w="851"/>
        <w:gridCol w:w="1014"/>
        <w:gridCol w:w="868"/>
        <w:gridCol w:w="851"/>
        <w:gridCol w:w="850"/>
        <w:gridCol w:w="851"/>
        <w:gridCol w:w="850"/>
        <w:gridCol w:w="851"/>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604"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序号</w:t>
            </w:r>
          </w:p>
        </w:tc>
        <w:tc>
          <w:tcPr>
            <w:tcW w:w="8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问题</w:t>
            </w:r>
          </w:p>
          <w:p>
            <w:pPr>
              <w:keepNext w:val="0"/>
              <w:keepLines w:val="0"/>
              <w:widowControl w:val="0"/>
              <w:suppressLineNumbers w:val="0"/>
              <w:adjustRightInd w:val="0"/>
              <w:snapToGrid w:val="0"/>
              <w:spacing w:before="156" w:beforeLines="50" w:beforeAutospacing="0" w:after="0" w:afterAutospacing="0"/>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摘要</w:t>
            </w:r>
          </w:p>
        </w:tc>
        <w:tc>
          <w:tcPr>
            <w:tcW w:w="10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4"/>
                <w:szCs w:val="24"/>
                <w:bdr w:val="none" w:color="auto" w:sz="0" w:space="0"/>
                <w:lang w:val="en-US"/>
              </w:rPr>
            </w:pPr>
            <w:r>
              <w:rPr>
                <w:rFonts w:hint="eastAsia" w:ascii="仿宋" w:hAnsi="仿宋" w:eastAsia="仿宋" w:cs="仿宋"/>
                <w:kern w:val="2"/>
                <w:sz w:val="24"/>
                <w:szCs w:val="24"/>
                <w:bdr w:val="none" w:color="auto" w:sz="0" w:space="0"/>
                <w:lang w:val="en-US" w:eastAsia="zh-CN" w:bidi="ar"/>
              </w:rPr>
              <w:t>整改责任人</w:t>
            </w:r>
          </w:p>
        </w:tc>
        <w:tc>
          <w:tcPr>
            <w:tcW w:w="17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已整改</w:t>
            </w:r>
          </w:p>
        </w:tc>
        <w:tc>
          <w:tcPr>
            <w:tcW w:w="255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正在整改</w:t>
            </w:r>
          </w:p>
        </w:tc>
        <w:tc>
          <w:tcPr>
            <w:tcW w:w="25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尚未整改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016"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eastAsia="宋体" w:cs="Times New Roman"/>
                <w:kern w:val="2"/>
                <w:sz w:val="21"/>
                <w:szCs w:val="22"/>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eastAsia="宋体" w:cs="Times New Roman"/>
                <w:kern w:val="2"/>
                <w:sz w:val="21"/>
                <w:szCs w:val="22"/>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Calibri" w:hAnsi="Calibri" w:eastAsia="宋体" w:cs="Times New Roman"/>
                <w:kern w:val="2"/>
                <w:sz w:val="21"/>
                <w:szCs w:val="22"/>
              </w:rPr>
            </w:pP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整改</w:t>
            </w:r>
          </w:p>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措施</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完成</w:t>
            </w:r>
          </w:p>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时间</w:t>
            </w:r>
          </w:p>
        </w:tc>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已采取措施</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下一步措施</w:t>
            </w:r>
          </w:p>
        </w:tc>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完成</w:t>
            </w:r>
          </w:p>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时限</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主要</w:t>
            </w:r>
          </w:p>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原因</w:t>
            </w:r>
          </w:p>
        </w:tc>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整改</w:t>
            </w:r>
          </w:p>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措施</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完成</w:t>
            </w:r>
          </w:p>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4"/>
                <w:szCs w:val="24"/>
                <w:bdr w:val="none" w:color="auto" w:sz="0" w:space="0"/>
                <w:lang w:val="en-US"/>
              </w:rPr>
            </w:pPr>
            <w:r>
              <w:rPr>
                <w:rFonts w:hint="eastAsia" w:ascii="仿宋" w:hAnsi="仿宋" w:eastAsia="仿宋" w:cs="宋体"/>
                <w:kern w:val="0"/>
                <w:sz w:val="24"/>
                <w:szCs w:val="24"/>
                <w:bdr w:val="none" w:color="auto" w:sz="0" w:space="0"/>
                <w:lang w:val="en-US" w:eastAsia="zh-CN" w:bidi="ar"/>
              </w:rPr>
              <w:t>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282"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101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411"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101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346"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101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101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401" w:hRule="atLeast"/>
        </w:trPr>
        <w:tc>
          <w:tcPr>
            <w:tcW w:w="5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adjustRightInd w:val="0"/>
              <w:snapToGrid w:val="0"/>
              <w:spacing w:before="156" w:beforeLines="50" w:beforeAutospacing="0" w:after="0" w:afterAutospacing="0" w:line="360" w:lineRule="auto"/>
              <w:ind w:left="0" w:right="0"/>
              <w:jc w:val="center"/>
              <w:rPr>
                <w:rFonts w:hint="eastAsia" w:ascii="仿宋" w:hAnsi="仿宋" w:eastAsia="仿宋" w:cs="仿宋"/>
                <w:sz w:val="28"/>
                <w:szCs w:val="28"/>
                <w:bdr w:val="none" w:color="auto" w:sz="0" w:space="0"/>
                <w:lang w:val="en-US"/>
              </w:rPr>
            </w:pPr>
            <w:r>
              <w:rPr>
                <w:rFonts w:hint="eastAsia" w:ascii="仿宋" w:hAnsi="仿宋" w:eastAsia="仿宋" w:cs="仿宋"/>
                <w:kern w:val="2"/>
                <w:sz w:val="28"/>
                <w:szCs w:val="28"/>
                <w:bdr w:val="none" w:color="auto" w:sz="0" w:space="0"/>
                <w:lang w:val="en-US" w:eastAsia="zh-CN" w:bidi="ar"/>
              </w:rPr>
              <w:t>5</w:t>
            </w: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1014"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6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c>
          <w:tcPr>
            <w:tcW w:w="851"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val="0"/>
              <w:suppressLineNumbers w:val="0"/>
              <w:adjustRightInd w:val="0"/>
              <w:snapToGrid w:val="0"/>
              <w:spacing w:before="156" w:beforeLines="50" w:beforeAutospacing="0" w:after="0" w:afterAutospacing="0" w:line="360" w:lineRule="auto"/>
              <w:ind w:left="0" w:right="0"/>
              <w:jc w:val="both"/>
              <w:rPr>
                <w:rFonts w:hint="eastAsia" w:ascii="仿宋" w:hAnsi="仿宋" w:eastAsia="仿宋" w:cs="仿宋"/>
                <w:sz w:val="28"/>
                <w:szCs w:val="28"/>
                <w:bdr w:val="none" w:color="auto" w:sz="0" w:space="0"/>
                <w:lang w:val="en-US"/>
              </w:rPr>
            </w:pPr>
          </w:p>
        </w:tc>
      </w:tr>
    </w:tbl>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被审计单位：</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napToGrid w:val="0"/>
        <w:spacing w:before="0" w:beforeAutospacing="0" w:after="0" w:afterAutospacing="0" w:line="500" w:lineRule="atLeast"/>
        <w:ind w:left="0" w:right="0"/>
        <w:jc w:val="both"/>
        <w:rPr>
          <w:rFonts w:hint="eastAsia" w:ascii="仿宋_GB2312" w:hAnsi="宋体" w:eastAsia="仿宋_GB2312" w:cs="仿宋_GB2312"/>
          <w:color w:val="FF0000"/>
          <w:sz w:val="28"/>
          <w:szCs w:val="28"/>
          <w:lang w:val="en-US"/>
        </w:rPr>
      </w:pPr>
    </w:p>
    <w:p>
      <w:pPr>
        <w:keepNext w:val="0"/>
        <w:keepLines w:val="0"/>
        <w:widowControl w:val="0"/>
        <w:suppressLineNumbers w:val="0"/>
        <w:spacing w:before="0" w:beforeAutospacing="0" w:after="0" w:afterAutospacing="0"/>
        <w:ind w:left="0" w:right="0"/>
        <w:jc w:val="both"/>
        <w:rPr>
          <w:lang w:val="en-US"/>
        </w:rPr>
      </w:pPr>
    </w:p>
    <w:p/>
    <w:sectPr>
      <w:pgSz w:w="11906" w:h="16838"/>
      <w:pgMar w:top="2098" w:right="1588" w:bottom="1702" w:left="1588" w:header="851" w:footer="992" w:gutter="0"/>
      <w:paperSrc/>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variable"/>
    <w:sig w:usb0="80000287" w:usb1="28CF3C52" w:usb2="00000016" w:usb3="00000000" w:csb0="0004001F" w:csb1="00000000"/>
  </w:font>
  <w:font w:name="方正小标宋简体">
    <w:altName w:val="微软雅黑"/>
    <w:panose1 w:val="00000000000000000000"/>
    <w:charset w:val="86"/>
    <w:family w:val="auto"/>
    <w:pitch w:val="variable"/>
    <w:sig w:usb0="00000000"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Tahoma">
    <w:panose1 w:val="020B0604030504040204"/>
    <w:charset w:val="00"/>
    <w:family w:val="auto"/>
    <w:pitch w:val="variable"/>
    <w:sig w:usb0="E1002EFF" w:usb1="C000605B" w:usb2="00000029" w:usb3="00000000" w:csb0="200101FF" w:csb1="20280000"/>
  </w:font>
  <w:font w:name="方正大标宋_GBK">
    <w:altName w:val="Microsoft YaHei UI"/>
    <w:panose1 w:val="00000000000000000000"/>
    <w:charset w:val="86"/>
    <w:family w:val="auto"/>
    <w:pitch w:val="fixed"/>
    <w:sig w:usb0="00000000" w:usb1="080E0000" w:usb2="00000010" w:usb3="00000000" w:csb0="00040000" w:csb1="00000000"/>
  </w:font>
  <w:font w:name="方正小标宋_GBK">
    <w:altName w:val="Microsoft YaHei UI"/>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CF3C52" w:usb2="00000016" w:usb3="00000000" w:csb0="0004001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方正小标宋_GBK">
    <w:altName w:val="宋体"/>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方正小标宋简体">
    <w:altName w:val="宋体"/>
    <w:panose1 w:val="00000000000000000000"/>
    <w:charset w:val="86"/>
    <w:family w:val="auto"/>
    <w:pitch w:val="variable"/>
    <w:sig w:usb0="00000000" w:usb1="080E0000" w:usb2="00000010" w:usb3="00000000" w:csb0="00040000" w:csb1="00000000"/>
  </w:font>
  <w:font w:name="@方正大标宋_GBK">
    <w:altName w:val="宋体"/>
    <w:panose1 w:val="00000000000000000000"/>
    <w:charset w:val="86"/>
    <w:family w:val="auto"/>
    <w:pitch w:val="fixed"/>
    <w:sig w:usb0="00000000" w:usb1="080E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82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header"/>
    <w:basedOn w:val="1"/>
    <w:link w:val="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眉 Char"/>
    <w:basedOn w:val="4"/>
    <w:link w:val="3"/>
    <w:uiPriority w:val="0"/>
    <w:rPr>
      <w:rFonts w:hint="default" w:ascii="Calibri" w:hAnsi="Calibri" w:cs="Calibri"/>
      <w:kern w:val="2"/>
      <w:sz w:val="18"/>
      <w:szCs w:val="18"/>
    </w:rPr>
  </w:style>
  <w:style w:type="character" w:customStyle="1" w:styleId="7">
    <w:name w:val="页脚 Char"/>
    <w:basedOn w:val="4"/>
    <w:link w:val="2"/>
    <w:uiPriority w:val="0"/>
    <w:rPr>
      <w:rFonts w:hint="default"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2018-10-25T00:50:23Z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